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Arial" w:cs="Arial" w:eastAsia="Arial" w:hAnsi="Arial"/>
          <w:b/>
          <w:bCs/>
          <w:sz w:val="26"/>
          <w:szCs w:val="26"/>
          <w:u w:val="single"/>
        </w:rPr>
        <w:t xml:space="preserve">APPENDIX 1</w:t>
      </w:r>
    </w:p>
    <w:p>
      <w:pPr>
        <w:spacing w:after="120"/>
        <w:jc w:val="center"/>
      </w:pPr>
      <w:r>
        <w:rPr>
          <w:rFonts w:ascii="Arial" w:cs="Arial" w:eastAsia="Arial" w:hAnsi="Arial"/>
          <w:sz w:val="24"/>
          <w:szCs w:val="24"/>
          <w:u w:val="single"/>
        </w:rPr>
        <w:t xml:space="preserve">Licence Fee Schedule</w:t>
      </w:r>
    </w:p>
    <w:p>
      <w:pPr>
        <w:spacing w:after="300"/>
        <w:jc w:val="center"/>
      </w:pPr>
      <w:r>
        <w:rPr>
          <w:rFonts w:ascii="Arial" w:cs="Arial" w:eastAsia="Arial" w:hAnsi="Arial"/>
          <w:i/>
          <w:iCs/>
          <w:color w:val="666666"/>
          <w:sz w:val="18"/>
          <w:szCs w:val="18"/>
        </w:rPr>
        <w:t xml:space="preserve">to the Bindex® License Agreement and Sales Contract between Prevenova GmbH and the Licensee — Version September 2026 (EUR edition)</w:t>
      </w:r>
    </w:p>
    <w:p>
      <w:pPr>
        <w:spacing w:after="120" w:before="0" w:line="276"/>
        <w:jc w:val="left"/>
      </w:pPr>
      <w:r>
        <w:rPr>
          <w:rFonts w:ascii="Arial" w:cs="Arial" w:eastAsia="Arial" w:hAnsi="Arial"/>
          <w:sz w:val="21"/>
          <w:szCs w:val="21"/>
        </w:rPr>
        <w:t xml:space="preserve">This Appendix sets out the Licence Fees for the Bindex® PRO Device and Software under the three Pricing Models offered by Prevenova GmbH ("Sub-Licensor"). The Pricing Model, scan package and any options selected by the Licensee are recorded in the Sales Contract. All amounts are in EUR and exclusive of VAT. In the event of conflict between this Appendix and the Sales Contract, the Sales Contract prevails.</w:t>
      </w:r>
    </w:p>
    <w:p>
      <w:pPr>
        <w:spacing w:after="120" w:before="280"/>
      </w:pPr>
      <w:r>
        <w:rPr>
          <w:rFonts w:ascii="Arial" w:cs="Arial" w:eastAsia="Arial" w:hAnsi="Arial"/>
          <w:b/>
          <w:bCs/>
          <w:color w:val="1F6FB2"/>
          <w:sz w:val="22"/>
          <w:szCs w:val="22"/>
        </w:rPr>
        <w:t xml:space="preserve">1. Scope of every Pricing Model</w:t>
      </w:r>
    </w:p>
    <w:p>
      <w:pPr>
        <w:spacing w:after="120" w:before="0" w:line="276"/>
        <w:jc w:val="left"/>
      </w:pPr>
      <w:r>
        <w:rPr>
          <w:rFonts w:ascii="Arial" w:cs="Arial" w:eastAsia="Arial" w:hAnsi="Arial"/>
          <w:sz w:val="21"/>
          <w:szCs w:val="21"/>
        </w:rPr>
        <w:t xml:space="preserve">Each Pricing Model includes: one Bindex® PRO Device on site (on loan under Models 1 and 2; owned by the Licensee under Model 3), measuring stick and protective case; access to the Bindex® Software and clinical platform, including measurement analysis, colour-coded report (PDF), follow-up timeline analysis and patient database export; software updates; technical support; maintenance; the warranty described in section 6; and initial on-site user training. A computer (PC) is not included. The software licence is for one computer per Device.</w:t>
      </w:r>
    </w:p>
    <w:p>
      <w:pPr>
        <w:spacing w:after="120" w:before="280"/>
      </w:pPr>
      <w:r>
        <w:rPr>
          <w:rFonts w:ascii="Arial" w:cs="Arial" w:eastAsia="Arial" w:hAnsi="Arial"/>
          <w:b/>
          <w:bCs/>
          <w:color w:val="1F6FB2"/>
          <w:sz w:val="22"/>
          <w:szCs w:val="22"/>
        </w:rPr>
        <w:t xml:space="preserve">2. Model 1 — Pay-as-you-go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Term</w:t>
            </w:r>
          </w:p>
        </w:tc>
        <w:tc>
          <w:tcPr>
            <w:tcW w:type="dxa" w:w="65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Detail</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Revenue share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30% of gross scan revenue collected from patients</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Per-scan minimum</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€20.00 per scan (applies where the patient price is below €67)</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Monthly floor</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€350 per month — the monthly fee is the higher of €350 or the revenue share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Training fee (Year 1 only)</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€1,000, invoiced on execution of the Sales Contract; credited in full against the first annual fee if the Licensee moves to Model 2 or Model 3</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Device purchase / annual fee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None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Minimum term / termination</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Minimum term 3 months; thereafter either Party may terminate on 90 days' written notice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Reporting and invoicing</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Monthly Scan Log by the 5th business day of each month (Sales Contract clause 5B); Sub-Licensor invoices monthly in arrears; payment 30 days net</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Declared Price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The patient price declared in the Sales Contract is the baseline for calculation and audit; 30 days' written notice before any price change (Sales Contract clause 5A)</w:t>
            </w:r>
          </w:p>
        </w:tc>
      </w:tr>
    </w:tbl>
    <w:p>
      <w:pPr>
        <w:spacing w:after="80" w:before="0" w:line="276"/>
        <w:jc w:val="left"/>
      </w:pPr>
      <w:r>
        <w:rPr>
          <w:rFonts w:ascii="Arial" w:cs="Arial" w:eastAsia="Arial" w:hAnsi="Arial"/>
          <w:color w:val="555555"/>
          <w:sz w:val="17"/>
          <w:szCs w:val="17"/>
        </w:rPr>
        <w:t xml:space="preserve">Best suited to pilots and low volumes (under approx. 300 scans per year). Illustrative calculations are set out in Appendix 1A.</w:t>
      </w:r>
    </w:p>
    <w:p>
      <w:pPr>
        <w:spacing w:after="120" w:before="280"/>
      </w:pPr>
      <w:r>
        <w:rPr>
          <w:rFonts w:ascii="Arial" w:cs="Arial" w:eastAsia="Arial" w:hAnsi="Arial"/>
          <w:b/>
          <w:bCs/>
          <w:color w:val="1F6FB2"/>
          <w:sz w:val="22"/>
          <w:szCs w:val="22"/>
        </w:rPr>
        <w:t xml:space="preserve">3. Model 2 — Annual subscription</w:t>
      </w:r>
    </w:p>
    <w:p>
      <w:pPr>
        <w:spacing w:after="120" w:before="0" w:line="276"/>
        <w:jc w:val="left"/>
      </w:pPr>
      <w:r>
        <w:rPr>
          <w:rFonts w:ascii="Arial" w:cs="Arial" w:eastAsia="Arial" w:hAnsi="Arial"/>
          <w:sz w:val="21"/>
          <w:szCs w:val="21"/>
        </w:rPr>
        <w:t xml:space="preserve">The annual subscription fee consists of the Device subscription of €3,500 per year plus the selected scan package. Scans are prepaid yearly and invoiced at the beginning of each subscription year. Device, Software, support, maintenance, warranty and training are included.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1800"/>
        <w:gridCol w:w="3260"/>
        <w:gridCol w:w="2300"/>
      </w:tblGrid>
      <w:tr>
        <w:trPr>
          <w:tblHeader/>
        </w:trPr>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Package</w:t>
            </w:r>
          </w:p>
        </w:tc>
        <w:tc>
          <w:tcPr>
            <w:tcW w:type="dxa" w:w="1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32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fee (incl. Device subscription)</w:t>
            </w:r>
          </w:p>
        </w:tc>
        <w:tc>
          <w:tcPr>
            <w:tcW w:type="dxa" w:w="23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Bindex cost per scan</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Entry</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€29.95</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Starter</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€6,990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€17.48</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Bronze</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€8,290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€10.36</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Silver</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1,600</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€9,490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€5.93</w:t>
            </w:r>
          </w:p>
        </w:tc>
      </w:tr>
      <w:tr>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Gold</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Unlimited</w:t>
            </w:r>
          </w:p>
        </w:tc>
        <w:tc>
          <w:tcPr>
            <w:tcW w:type="dxa" w:w="3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€11,490 / year</w:t>
            </w:r>
          </w:p>
        </w:tc>
        <w:tc>
          <w:tcPr>
            <w:tcW w:type="dxa" w:w="23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volume-based</w:t>
            </w:r>
          </w:p>
        </w:tc>
      </w:tr>
    </w:tbl>
    <w:p>
      <w:pPr>
        <w:spacing w:after="80" w:before="0" w:line="276"/>
        <w:jc w:val="left"/>
      </w:pPr>
      <w:r>
        <w:rPr>
          <w:rFonts w:ascii="Arial" w:cs="Arial" w:eastAsia="Arial" w:hAnsi="Arial"/>
          <w:color w:val="555555"/>
          <w:sz w:val="17"/>
          <w:szCs w:val="17"/>
        </w:rPr>
        <w:t xml:space="preserve">Upgrades to a higher package are possible at any time by paying the difference for the remainder of the subscription year. Downgrades are not permitted during a subscription year. Unused scans do not roll over.</w:t>
      </w:r>
    </w:p>
    <w:p>
      <w:pPr>
        <w:spacing w:after="80" w:before="0" w:line="276"/>
        <w:jc w:val="left"/>
      </w:pPr>
      <w:r>
        <w:rPr>
          <w:rFonts w:ascii="Arial" w:cs="Arial" w:eastAsia="Arial" w:hAnsi="Arial"/>
          <w:color w:val="555555"/>
          <w:sz w:val="17"/>
          <w:szCs w:val="17"/>
        </w:rPr>
        <w:t xml:space="preserve">Loyalty option (36-month commitment): 5% discount on the annual fee and 100 bonus scans per year (not applicable to Gold). The subscription renews automatically for successive 12-month periods unless terminated with 90 days' written notice before the end of the current term (License Agreement clause 4.1).</w:t>
      </w:r>
    </w:p>
    <w:p>
      <w:pPr>
        <w:spacing w:after="120" w:before="280"/>
      </w:pPr>
      <w:r>
        <w:rPr>
          <w:rFonts w:ascii="Arial" w:cs="Arial" w:eastAsia="Arial" w:hAnsi="Arial"/>
          <w:b/>
          <w:bCs/>
          <w:color w:val="1F6FB2"/>
          <w:sz w:val="22"/>
          <w:szCs w:val="22"/>
        </w:rPr>
        <w:t xml:space="preserve">4. Model 3 — One-time purchase</w:t>
      </w:r>
    </w:p>
    <w:p>
      <w:pPr>
        <w:spacing w:after="120" w:before="0" w:line="276"/>
        <w:jc w:val="left"/>
      </w:pPr>
      <w:r>
        <w:rPr>
          <w:rFonts w:ascii="Arial" w:cs="Arial" w:eastAsia="Arial" w:hAnsi="Arial"/>
          <w:sz w:val="21"/>
          <w:szCs w:val="21"/>
        </w:rPr>
        <w:t xml:space="preserve">The Licensee purchases the Device for a one-time price of €14,900 per Device; title passes on receipt of full payment. Use of the Software requires an annual scan package, which covers Software, clinical platform, support and maintenance. Training is included.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500"/>
        <w:gridCol w:w="2100"/>
        <w:gridCol w:w="2000"/>
        <w:gridCol w:w="2060"/>
      </w:tblGrid>
      <w:tr>
        <w:trPr>
          <w:tblHeader/>
        </w:trPr>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Package</w:t>
            </w:r>
          </w:p>
        </w:tc>
        <w:tc>
          <w:tcPr>
            <w:tcW w:type="dxa" w:w="15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21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scan package</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Cost per scan (package only)</w:t>
            </w:r>
          </w:p>
        </w:tc>
        <w:tc>
          <w:tcPr>
            <w:tcW w:type="dxa" w:w="20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Cost per scan incl. Device over 5 years*</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Entry</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€12.45</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€27.35</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Starter</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€3,490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€8.72</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€16.18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Bronze</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€4,790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€5.99</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€9.71</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Silver</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1,600</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€3.74</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€5.61</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Gold</w:t>
            </w:r>
          </w:p>
        </w:tc>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Unlimited</w:t>
            </w:r>
          </w:p>
        </w:tc>
        <w:tc>
          <w:tcPr>
            <w:tcW w:type="dxa" w:w="21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€7,990 / year</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volume-based</w:t>
            </w:r>
          </w:p>
        </w:tc>
        <w:tc>
          <w:tcPr>
            <w:tcW w:type="dxa" w:w="20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volume-based</w:t>
            </w:r>
          </w:p>
        </w:tc>
      </w:tr>
    </w:tbl>
    <w:p>
      <w:pPr>
        <w:spacing w:after="80" w:before="0" w:line="276"/>
        <w:jc w:val="left"/>
      </w:pPr>
      <w:r>
        <w:rPr>
          <w:rFonts w:ascii="Arial" w:cs="Arial" w:eastAsia="Arial" w:hAnsi="Arial"/>
          <w:color w:val="555555"/>
          <w:sz w:val="17"/>
          <w:szCs w:val="17"/>
        </w:rPr>
        <w:t xml:space="preserve">* Package price plus the Device price spread over 5 years, divided by the annual scan volume. Indicative only.</w:t>
      </w:r>
    </w:p>
    <w:p>
      <w:pPr>
        <w:spacing w:after="120" w:before="280"/>
      </w:pPr>
      <w:r>
        <w:rPr>
          <w:rFonts w:ascii="Arial" w:cs="Arial" w:eastAsia="Arial" w:hAnsi="Arial"/>
          <w:b/>
          <w:bCs/>
          <w:color w:val="1F6FB2"/>
          <w:sz w:val="22"/>
          <w:szCs w:val="22"/>
        </w:rPr>
        <w:t xml:space="preserve">5. Options and additional charges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Item</w:t>
            </w:r>
          </w:p>
        </w:tc>
        <w:tc>
          <w:tcPr>
            <w:tcW w:type="dxa" w:w="33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Price</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Extended hardware warranty, years 3–5 (Model 3)</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€390 per year</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Additional training / consultation beyond initial training</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As agreed separately</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Replacement of lost or damaged Device (beyond normal wear)</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€14,900 excl. shipping</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Replacement measuring stick / protective case</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€50 / €100</w:t>
            </w:r>
          </w:p>
        </w:tc>
      </w:tr>
      <w:tr>
        <w:tc>
          <w:tcPr>
            <w:tcW w:type="dxa" w:w="6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Shipping and insurance</w:t>
            </w:r>
          </w:p>
        </w:tc>
        <w:tc>
          <w:tcPr>
            <w:tcW w:type="dxa" w:w="33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sz w:val="19"/>
                <w:szCs w:val="19"/>
              </w:rPr>
              <w:t xml:space="preserve">As stated in the Sales Contract</w:t>
            </w:r>
          </w:p>
        </w:tc>
      </w:tr>
    </w:tbl>
    <w:p>
      <w:pPr>
        <w:spacing w:after="120" w:before="280"/>
      </w:pPr>
      <w:r>
        <w:rPr>
          <w:rFonts w:ascii="Arial" w:cs="Arial" w:eastAsia="Arial" w:hAnsi="Arial"/>
          <w:b/>
          <w:bCs/>
          <w:color w:val="1F6FB2"/>
          <w:sz w:val="22"/>
          <w:szCs w:val="22"/>
        </w:rPr>
        <w:t xml:space="preserve">6. Warranty</w:t>
      </w:r>
    </w:p>
    <w:p>
      <w:pPr>
        <w:spacing w:after="120" w:before="0" w:line="276"/>
        <w:jc w:val="left"/>
      </w:pPr>
      <w:r>
        <w:rPr>
          <w:rFonts w:ascii="Arial" w:cs="Arial" w:eastAsia="Arial" w:hAnsi="Arial"/>
          <w:sz w:val="21"/>
          <w:szCs w:val="21"/>
        </w:rPr>
        <w:t xml:space="preserve">Models 1 and 2: the Device remains the property of Bone Index Finland Oy and is covered for the duration of the Subscription Term. Model 3: 2-year hardware warranty from delivery; the Bronze, Silver and Gold scan packages include a lifetime Device warranty for as long as the package is maintained; an extended warranty for years 3–5 is available at €390 per year for Entry and Starter. The warranty is limited to the Bindex® Device and applies only where the Device is stored, installed, used and maintained as instructed in the Bindex® User Manual. It does not cover wearing or disposable parts, routine replacement parts, normal wear and tear, or damage caused by misuse, accident, or unauthorised modification. Warranty claims are directed through Sub-Licensor, which passes through the manufacturer's warranty of Bone Index Finland Oy (License Agreement clause 7.2).</w:t>
      </w:r>
    </w:p>
    <w:p>
      <w:pPr>
        <w:spacing w:after="120" w:before="280"/>
      </w:pPr>
      <w:r>
        <w:rPr>
          <w:rFonts w:ascii="Arial" w:cs="Arial" w:eastAsia="Arial" w:hAnsi="Arial"/>
          <w:b/>
          <w:bCs/>
          <w:color w:val="1F6FB2"/>
          <w:sz w:val="22"/>
          <w:szCs w:val="22"/>
        </w:rPr>
        <w:t xml:space="preserve">7. Payment terms and price adjustments</w:t>
      </w:r>
    </w:p>
    <w:p>
      <w:pPr>
        <w:spacing w:after="120" w:before="0" w:line="276"/>
        <w:jc w:val="left"/>
      </w:pPr>
      <w:r>
        <w:rPr>
          <w:rFonts w:ascii="Arial" w:cs="Arial" w:eastAsia="Arial" w:hAnsi="Arial"/>
          <w:sz w:val="21"/>
          <w:szCs w:val="21"/>
        </w:rPr>
        <w:t xml:space="preserve">Invoices are payable within 30 calendar days from the invoice date. Late payments bear interest at 5% per annum (Art. 104 Swiss CO) or the applicable statutory rate. For Licensees in Germany and Austria the reverse charge procedure applies (License Agreement clause 5.2).</w:t>
      </w:r>
    </w:p>
    <w:p>
      <w:pPr>
        <w:spacing w:after="120" w:before="0" w:line="276"/>
        <w:jc w:val="left"/>
      </w:pPr>
      <w:r>
        <w:rPr>
          <w:rFonts w:ascii="Arial" w:cs="Arial" w:eastAsia="Arial" w:hAnsi="Arial"/>
          <w:sz w:val="21"/>
          <w:szCs w:val="21"/>
        </w:rPr>
        <w:t xml:space="preserve">Sub-Licensor may adjust the Licence Fees once per calendar year to reflect changes in market conditions, inflation or operational costs. Any adjustment takes effect at the start of the next subscription year (or, for Model 1, on 1 January), is limited to a maximum of 10%, and will be communicated to the Licensee in writing at least 30 calendar days before the effective date.</w:t>
      </w:r>
    </w:p>
    <w:p>
      <w:r>
        <w:br w:type="page"/>
      </w:r>
    </w:p>
    <w:p>
      <w:pPr>
        <w:spacing w:after="60"/>
        <w:jc w:val="center"/>
      </w:pPr>
      <w:r>
        <w:rPr>
          <w:rFonts w:ascii="Arial" w:cs="Arial" w:eastAsia="Arial" w:hAnsi="Arial"/>
          <w:b/>
          <w:bCs/>
          <w:sz w:val="26"/>
          <w:szCs w:val="26"/>
          <w:u w:val="single"/>
        </w:rPr>
        <w:t xml:space="preserve">APPENDIX 1A</w:t>
      </w:r>
    </w:p>
    <w:p>
      <w:pPr>
        <w:spacing w:after="120"/>
        <w:jc w:val="center"/>
      </w:pPr>
      <w:r>
        <w:rPr>
          <w:rFonts w:ascii="Arial" w:cs="Arial" w:eastAsia="Arial" w:hAnsi="Arial"/>
          <w:sz w:val="24"/>
          <w:szCs w:val="24"/>
          <w:u w:val="single"/>
        </w:rPr>
        <w:t xml:space="preserve">Pay-as-you-go Pricing — Illustrative Examples</w:t>
      </w:r>
    </w:p>
    <w:p>
      <w:pPr>
        <w:spacing w:after="300"/>
        <w:jc w:val="center"/>
      </w:pPr>
      <w:r>
        <w:rPr>
          <w:rFonts w:ascii="Arial" w:cs="Arial" w:eastAsia="Arial" w:hAnsi="Arial"/>
          <w:i/>
          <w:iCs/>
          <w:color w:val="666666"/>
          <w:sz w:val="18"/>
          <w:szCs w:val="18"/>
        </w:rPr>
        <w:t xml:space="preserve">to the Bindex® License Agreement and Sales Contract between Prevenova GmbH and the Licensee — applies only where the pay-as-you-go Pricing Model is selected</w:t>
      </w:r>
    </w:p>
    <w:p>
      <w:pPr>
        <w:spacing w:after="120" w:before="0" w:line="276"/>
        <w:jc w:val="left"/>
      </w:pPr>
      <w:r>
        <w:rPr>
          <w:rFonts w:ascii="Arial" w:cs="Arial" w:eastAsia="Arial" w:hAnsi="Arial"/>
          <w:sz w:val="21"/>
          <w:szCs w:val="21"/>
        </w:rPr>
        <w:t xml:space="preserve">The following tables illustrate the monthly fee payable to Sub-Licensor under the pay-as-you-go model (Model 1). The fee is 30% of the gross scan revenue collected from patients, subject to two minimums: a per-scan minimum of €20 (relevant only where the patient price is below €67) and a monthly floor of €350 regardless of scan activity. All amounts in EUR, exclusive of VAT. The examples are indicative only; the actual fee is calculated on the actual gross amount collected from patients as reported in the Monthly Scan Log.</w:t>
      </w:r>
    </w:p>
    <w:p>
      <w:pPr>
        <w:spacing w:after="120" w:before="280"/>
      </w:pPr>
      <w:r>
        <w:rPr>
          <w:rFonts w:ascii="Arial" w:cs="Arial" w:eastAsia="Arial" w:hAnsi="Arial"/>
          <w:b/>
          <w:bCs/>
          <w:color w:val="1F6FB2"/>
          <w:sz w:val="22"/>
          <w:szCs w:val="22"/>
        </w:rPr>
        <w:t xml:space="preserve">Key terms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6560"/>
      </w:tblGrid>
      <w:tr>
        <w:trPr>
          <w:tblHeader/>
        </w:trPr>
        <w:tc>
          <w:tcPr>
            <w:tcW w:type="dxa" w:w="2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Term</w:t>
            </w:r>
          </w:p>
        </w:tc>
        <w:tc>
          <w:tcPr>
            <w:tcW w:type="dxa" w:w="65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Detail</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Revenue share</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30% of gross scan revenue per month</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Per-scan minimum</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€20 per scan (applies where the patient price is below €67)</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Monthly floor</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€350 per month, regardless of scan volume</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Invoicing</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Monthly in arrears, based on the Monthly Scan Log submitted by the 5th business day of the following month</w:t>
            </w:r>
          </w:p>
        </w:tc>
      </w:tr>
      <w:tr>
        <w:tc>
          <w:tcPr>
            <w:tcW w:type="dxa" w:w="2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Training fee (Year 1 only)</w:t>
            </w:r>
          </w:p>
        </w:tc>
        <w:tc>
          <w:tcPr>
            <w:tcW w:type="dxa" w:w="65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val="false"/>
                <w:bCs w:val="false"/>
                <w:sz w:val="19"/>
                <w:szCs w:val="19"/>
              </w:rPr>
              <w:t xml:space="preserve">€1,000, invoiced on execution; credited in full on moving to annual subscription or one-time purchase</w:t>
            </w:r>
          </w:p>
        </w:tc>
      </w:tr>
    </w:tbl>
    <w:p>
      <w:pPr>
        <w:spacing w:after="120" w:before="280"/>
      </w:pPr>
      <w:r>
        <w:rPr>
          <w:rFonts w:ascii="Arial" w:cs="Arial" w:eastAsia="Arial" w:hAnsi="Arial"/>
          <w:b/>
          <w:bCs/>
          <w:color w:val="1F6FB2"/>
          <w:sz w:val="22"/>
          <w:szCs w:val="22"/>
        </w:rPr>
        <w:t xml:space="preserve">1. Fee per scan by patient price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2200"/>
        <w:gridCol w:w="2760"/>
      </w:tblGrid>
      <w:tr>
        <w:trPr>
          <w:tblHeader/>
        </w:trPr>
        <w:tc>
          <w:tcPr>
            <w:tcW w:type="dxa" w:w="24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 per scan</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30% of price</w:t>
            </w:r>
          </w:p>
        </w:tc>
        <w:tc>
          <w:tcPr>
            <w:tcW w:type="dxa" w:w="22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Per-scan minimum</w:t>
            </w:r>
          </w:p>
        </w:tc>
        <w:tc>
          <w:tcPr>
            <w:tcW w:type="dxa" w:w="27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Fee to Prevenova per scan</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€49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€14.70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€20.00 (minimum applies)</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€69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€20.70</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€26.70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€26.70</w:t>
            </w:r>
          </w:p>
        </w:tc>
      </w:tr>
      <w:tr>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€129</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€38.70</w:t>
            </w:r>
          </w:p>
        </w:tc>
        <w:tc>
          <w:tcPr>
            <w:tcW w:type="dxa" w:w="2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€20.00</w:t>
            </w:r>
          </w:p>
        </w:tc>
        <w:tc>
          <w:tcPr>
            <w:tcW w:type="dxa" w:w="27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€38.70</w:t>
            </w:r>
          </w:p>
        </w:tc>
      </w:tr>
    </w:tbl>
    <w:p>
      <w:pPr>
        <w:spacing w:after="120" w:before="280"/>
      </w:pPr>
      <w:r>
        <w:rPr>
          <w:rFonts w:ascii="Arial" w:cs="Arial" w:eastAsia="Arial" w:hAnsi="Arial"/>
          <w:b/>
          <w:bCs/>
          <w:color w:val="1F6FB2"/>
          <w:sz w:val="22"/>
          <w:szCs w:val="22"/>
        </w:rPr>
        <w:t xml:space="preserve">2. Monthly examples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400"/>
        <w:gridCol w:w="1700"/>
        <w:gridCol w:w="1800"/>
        <w:gridCol w:w="1700"/>
        <w:gridCol w:w="1260"/>
      </w:tblGrid>
      <w:tr>
        <w:trPr>
          <w:tblHeader/>
        </w:trPr>
        <w:tc>
          <w:tcPr>
            <w:tcW w:type="dxa" w:w="15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w:t>
            </w:r>
          </w:p>
        </w:tc>
        <w:tc>
          <w:tcPr>
            <w:tcW w:type="dxa" w:w="14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month</w:t>
            </w:r>
          </w:p>
        </w:tc>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Gross revenue</w:t>
            </w:r>
          </w:p>
        </w:tc>
        <w:tc>
          <w:tcPr>
            <w:tcW w:type="dxa" w:w="1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Fee to Prevenova</w:t>
            </w:r>
          </w:p>
        </w:tc>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Clinic retains</w:t>
            </w:r>
          </w:p>
        </w:tc>
        <w:tc>
          <w:tcPr>
            <w:tcW w:type="dxa" w:w="12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Clinic share</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€49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€350 *</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€140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€580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€1,470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€600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€870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€1,960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€800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€1,160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€69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€350 *</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€340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49%</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€1,380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€414</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€966</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€621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€1,449</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€2,760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€828</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€1,932</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€350 *</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€540</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61%</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€1,780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€534</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€1,246</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€2,670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€801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€1,869</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€3,560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€1,068</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€2,492</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€129</w:t>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€1,290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€387</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€903</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€2,580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€774</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€1,806</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€3,870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€1,161</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€2,709</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r>
        <w:tc>
          <w:tcPr>
            <w:tcW w:type="dxa" w:w="15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€5,160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€1,548</w:t>
            </w:r>
          </w:p>
        </w:tc>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€3,612</w:t>
            </w:r>
          </w:p>
        </w:tc>
        <w:tc>
          <w:tcPr>
            <w:tcW w:type="dxa" w:w="12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70%</w:t>
            </w:r>
          </w:p>
        </w:tc>
      </w:tr>
    </w:tbl>
    <w:p>
      <w:pPr>
        <w:spacing w:after="80" w:before="0" w:line="276"/>
        <w:jc w:val="left"/>
      </w:pPr>
      <w:r>
        <w:rPr>
          <w:rFonts w:ascii="Arial" w:cs="Arial" w:eastAsia="Arial" w:hAnsi="Arial"/>
          <w:color w:val="555555"/>
          <w:sz w:val="17"/>
          <w:szCs w:val="17"/>
        </w:rPr>
        <w:t xml:space="preserve">* Monthly floor applies: 30% of revenue (or €20 per scan) is below €350, so the fee is €350 for that month.</w:t>
      </w:r>
    </w:p>
    <w:p>
      <w:pPr>
        <w:spacing w:after="120" w:before="280"/>
      </w:pPr>
      <w:r>
        <w:rPr>
          <w:rFonts w:ascii="Arial" w:cs="Arial" w:eastAsia="Arial" w:hAnsi="Arial"/>
          <w:b/>
          <w:bCs/>
          <w:color w:val="1F6FB2"/>
          <w:sz w:val="22"/>
          <w:szCs w:val="22"/>
        </w:rPr>
        <w:t xml:space="preserve">3. Annual examples (× 12 months)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1600"/>
        <w:gridCol w:w="2000"/>
        <w:gridCol w:w="2400"/>
        <w:gridCol w:w="1660"/>
      </w:tblGrid>
      <w:tr>
        <w:trPr>
          <w:tblHeader/>
        </w:trPr>
        <w:tc>
          <w:tcPr>
            <w:tcW w:type="dxa" w:w="17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w:t>
            </w:r>
          </w:p>
        </w:tc>
        <w:tc>
          <w:tcPr>
            <w:tcW w:type="dxa" w:w="16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revenue</w:t>
            </w:r>
          </w:p>
        </w:tc>
        <w:tc>
          <w:tcPr>
            <w:tcW w:type="dxa" w:w="24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fee to Prevenova</w:t>
            </w:r>
          </w:p>
        </w:tc>
        <w:tc>
          <w:tcPr>
            <w:tcW w:type="dxa" w:w="16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Clinic retains</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€49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€5,880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€1,680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€11,760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€6,960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€17,640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€10,440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€23,520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€9,600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€13,920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€69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€8,280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€4,080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€16,560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€4,968</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€11,592</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€24,840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€7,452</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€17,388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€33,120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€9,936</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€23,184</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€10,680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€4,200</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€6,480</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€21,360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€6,408</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€14,952</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€32,040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€9,612</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€22,428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€42,720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€12,816</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€29,904</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€129</w:t>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€15,480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€4,644</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€10,836</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€30,960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€9,288</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€21,672</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€46,440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€13,932</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€32,508</w:t>
            </w:r>
          </w:p>
        </w:tc>
      </w:tr>
      <w:tr>
        <w:tc>
          <w:tcPr>
            <w:tcW w:type="dxa" w:w="17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
            </w:r>
          </w:p>
        </w:tc>
        <w:tc>
          <w:tcPr>
            <w:tcW w:type="dxa" w:w="16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€61,920</w:t>
            </w:r>
          </w:p>
        </w:tc>
        <w:tc>
          <w:tcPr>
            <w:tcW w:type="dxa" w:w="24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€18,576</w:t>
            </w:r>
          </w:p>
        </w:tc>
        <w:tc>
          <w:tcPr>
            <w:tcW w:type="dxa" w:w="16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€43,344</w:t>
            </w:r>
          </w:p>
        </w:tc>
      </w:tr>
    </w:tbl>
    <w:p>
      <w:pPr>
        <w:spacing w:after="80" w:before="0" w:line="276"/>
        <w:jc w:val="left"/>
      </w:pPr>
      <w:r>
        <w:rPr>
          <w:rFonts w:ascii="Arial" w:cs="Arial" w:eastAsia="Arial" w:hAnsi="Arial"/>
          <w:color w:val="555555"/>
          <w:sz w:val="17"/>
          <w:szCs w:val="17"/>
        </w:rPr>
        <w:t xml:space="preserve">Annual figures assume a constant monthly volume. The €1,000 training fee in Year 1 is not included.</w:t>
      </w:r>
    </w:p>
    <w:p>
      <w:pPr>
        <w:spacing w:after="120" w:before="280"/>
      </w:pPr>
      <w:r>
        <w:rPr>
          <w:rFonts w:ascii="Arial" w:cs="Arial" w:eastAsia="Arial" w:hAnsi="Arial"/>
          <w:b/>
          <w:bCs/>
          <w:color w:val="1F6FB2"/>
          <w:sz w:val="22"/>
          <w:szCs w:val="22"/>
        </w:rPr>
        <w:t xml:space="preserve">4. How the minimums work</w:t>
      </w:r>
    </w:p>
    <w:p>
      <w:pPr>
        <w:spacing w:after="120" w:before="0" w:line="276"/>
        <w:jc w:val="left"/>
      </w:pPr>
      <w:r>
        <w:rPr>
          <w:rFonts w:ascii="Arial" w:cs="Arial" w:eastAsia="Arial" w:hAnsi="Arial"/>
          <w:sz w:val="21"/>
          <w:szCs w:val="21"/>
        </w:rPr>
        <w:t xml:space="preserve">Per-scan minimum: where the Licensee charges patients less than €67 per scan, the fee to Prevenova is €20 per scan instead of 30%. Example at €49: 30% would be €14.70, so €20 applies; 20 scans → €400 fee.</w:t>
      </w:r>
    </w:p>
    <w:p>
      <w:pPr>
        <w:spacing w:after="120" w:before="0" w:line="276"/>
        <w:jc w:val="left"/>
      </w:pPr>
      <w:r>
        <w:rPr>
          <w:rFonts w:ascii="Arial" w:cs="Arial" w:eastAsia="Arial" w:hAnsi="Arial"/>
          <w:sz w:val="21"/>
          <w:szCs w:val="21"/>
        </w:rPr>
        <w:t xml:space="preserve">Monthly floor: where the total monthly fee would fall below €350 (low activity, holidays, or a low patient price), Prevenova invoices €350 for that month. Example at €89: 10 scans → €890 revenue → 30% = €267 → fee €350 (floor); 20 scans → €1,780 → fee €534 (30% applies). At €89 per scan the floor stops applying from 14 scans per month; at €69 from 17 scans; at €49 from 18 scans; at €129 from 10 scans.</w:t>
      </w:r>
    </w:p>
    <w:p>
      <w:pPr>
        <w:spacing w:after="120" w:before="0" w:line="276"/>
        <w:jc w:val="left"/>
      </w:pPr>
      <w:r>
        <w:rPr>
          <w:rFonts w:ascii="Arial" w:cs="Arial" w:eastAsia="Arial" w:hAnsi="Arial"/>
          <w:sz w:val="21"/>
          <w:szCs w:val="21"/>
        </w:rPr>
        <w:t xml:space="preserve">Price changes: if the Licensee changes the patient price, 30 days' prior written notice is required (Sales Contract clause 5A). The revenue share is always calculated on the actual amount collected.</w:t>
      </w:r>
    </w:p>
    <w:p>
      <w:pPr>
        <w:spacing w:after="120" w:before="280"/>
      </w:pPr>
      <w:r>
        <w:rPr>
          <w:rFonts w:ascii="Arial" w:cs="Arial" w:eastAsia="Arial" w:hAnsi="Arial"/>
          <w:b/>
          <w:bCs/>
          <w:color w:val="1F6FB2"/>
          <w:sz w:val="22"/>
          <w:szCs w:val="22"/>
        </w:rPr>
        <w:t xml:space="preserve">5. Comparison with the other Pricing Models (patient price €89)</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0"/>
        <w:gridCol w:w="1200"/>
        <w:gridCol w:w="1200"/>
        <w:gridCol w:w="1800"/>
        <w:gridCol w:w="2000"/>
        <w:gridCol w:w="1960"/>
      </w:tblGrid>
      <w:tr>
        <w:trPr>
          <w:tblHeader/>
        </w:trPr>
        <w:tc>
          <w:tcPr>
            <w:tcW w:type="dxa" w:w="12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left"/>
            </w:pPr>
            <w:r>
              <w:rPr>
                <w:rFonts w:ascii="Arial" w:cs="Arial" w:eastAsia="Arial" w:hAnsi="Arial"/>
                <w:b/>
                <w:bCs/>
                <w:color w:val="FFFFFF"/>
                <w:sz w:val="19"/>
                <w:szCs w:val="19"/>
              </w:rPr>
              <w:t xml:space="preserve">Patient price</w:t>
            </w:r>
          </w:p>
        </w:tc>
        <w:tc>
          <w:tcPr>
            <w:tcW w:type="dxa" w:w="12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month</w:t>
            </w:r>
          </w:p>
        </w:tc>
        <w:tc>
          <w:tcPr>
            <w:tcW w:type="dxa" w:w="12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Scans / year</w:t>
            </w:r>
          </w:p>
        </w:tc>
        <w:tc>
          <w:tcPr>
            <w:tcW w:type="dxa" w:w="18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Pay-as-you-go annual fee</w:t>
            </w:r>
          </w:p>
        </w:tc>
        <w:tc>
          <w:tcPr>
            <w:tcW w:type="dxa" w:w="200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Annual subscription (smallest sufficient package)</w:t>
            </w:r>
          </w:p>
        </w:tc>
        <w:tc>
          <w:tcPr>
            <w:tcW w:type="dxa" w:w="1960"/>
            <w:tcBorders>
              <w:top w:val="single" w:color="BBBBBB" w:sz="4"/>
              <w:left w:val="single" w:color="BBBBBB" w:sz="4"/>
              <w:bottom w:val="single" w:color="BBBBBB" w:sz="4"/>
              <w:right w:val="single" w:color="BBBBBB" w:sz="4"/>
            </w:tcBorders>
            <w:shd w:fill="1F6FB2" w:color="auto" w:val="clear"/>
            <w:tcMar>
              <w:top w:type="dxa" w:w="60"/>
              <w:left w:type="dxa" w:w="100"/>
              <w:bottom w:type="dxa" w:w="60"/>
              <w:right w:type="dxa" w:w="100"/>
            </w:tcMar>
          </w:tcPr>
          <w:p>
            <w:pPr>
              <w:jc w:val="right"/>
            </w:pPr>
            <w:r>
              <w:rPr>
                <w:rFonts w:ascii="Arial" w:cs="Arial" w:eastAsia="Arial" w:hAnsi="Arial"/>
                <w:b/>
                <w:bCs/>
                <w:color w:val="FFFFFF"/>
                <w:sz w:val="19"/>
                <w:szCs w:val="19"/>
              </w:rPr>
              <w:t xml:space="preserve">One-time purchase, annual cost incl. Device over 5 years</w:t>
            </w:r>
          </w:p>
        </w:tc>
      </w:tr>
      <w:tr>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10</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€4,200</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Entry — €5,990</w:t>
            </w:r>
          </w:p>
        </w:tc>
        <w:tc>
          <w:tcPr>
            <w:tcW w:type="dxa" w:w="19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Entry — €5,470 **</w:t>
            </w:r>
          </w:p>
        </w:tc>
      </w:tr>
      <w:tr>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20</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240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€6,408</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Starter — €6,990</w:t>
            </w:r>
          </w:p>
        </w:tc>
        <w:tc>
          <w:tcPr>
            <w:tcW w:type="dxa" w:w="19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Starter — €6,470 **</w:t>
            </w:r>
          </w:p>
        </w:tc>
      </w:tr>
      <w:tr>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30</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360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€9,612</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Starter — €6,990</w:t>
            </w:r>
          </w:p>
        </w:tc>
        <w:tc>
          <w:tcPr>
            <w:tcW w:type="dxa" w:w="19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Starter — €6,470 **</w:t>
            </w:r>
          </w:p>
        </w:tc>
      </w:tr>
      <w:tr>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left"/>
            </w:pPr>
            <w:r>
              <w:rPr>
                <w:rFonts w:ascii="Arial" w:cs="Arial" w:eastAsia="Arial" w:hAnsi="Arial"/>
                <w:b/>
                <w:bCs/>
                <w:sz w:val="19"/>
                <w:szCs w:val="19"/>
              </w:rPr>
              <w:t xml:space="preserve">€89</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40</w:t>
            </w:r>
          </w:p>
        </w:tc>
        <w:tc>
          <w:tcPr>
            <w:tcW w:type="dxa" w:w="12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480</w:t>
            </w:r>
          </w:p>
        </w:tc>
        <w:tc>
          <w:tcPr>
            <w:tcW w:type="dxa" w:w="18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€12,816</w:t>
            </w:r>
          </w:p>
        </w:tc>
        <w:tc>
          <w:tcPr>
            <w:tcW w:type="dxa" w:w="200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Bronze — €8,290</w:t>
            </w:r>
          </w:p>
        </w:tc>
        <w:tc>
          <w:tcPr>
            <w:tcW w:type="dxa" w:w="1960"/>
            <w:tcBorders>
              <w:top w:val="single" w:color="BBBBBB" w:sz="4"/>
              <w:left w:val="single" w:color="BBBBBB" w:sz="4"/>
              <w:bottom w:val="single" w:color="BBBBBB" w:sz="4"/>
              <w:right w:val="single" w:color="BBBBBB" w:sz="4"/>
            </w:tcBorders>
            <w:tcMar>
              <w:top w:type="dxa" w:w="60"/>
              <w:left w:type="dxa" w:w="100"/>
              <w:bottom w:type="dxa" w:w="60"/>
              <w:right w:type="dxa" w:w="100"/>
            </w:tcMar>
          </w:tcPr>
          <w:p>
            <w:pPr>
              <w:jc w:val="right"/>
            </w:pPr>
            <w:r>
              <w:rPr>
                <w:rFonts w:ascii="Arial" w:cs="Arial" w:eastAsia="Arial" w:hAnsi="Arial"/>
                <w:b w:val="false"/>
                <w:bCs w:val="false"/>
                <w:sz w:val="19"/>
                <w:szCs w:val="19"/>
              </w:rPr>
              <w:t xml:space="preserve">Bronze — €7,770 **</w:t>
            </w:r>
          </w:p>
        </w:tc>
      </w:tr>
    </w:tbl>
    <w:p>
      <w:pPr>
        <w:spacing w:after="80" w:before="0" w:line="276"/>
        <w:jc w:val="left"/>
      </w:pPr>
      <w:r>
        <w:rPr>
          <w:rFonts w:ascii="Arial" w:cs="Arial" w:eastAsia="Arial" w:hAnsi="Arial"/>
          <w:color w:val="555555"/>
          <w:sz w:val="17"/>
          <w:szCs w:val="17"/>
        </w:rPr>
        <w:t xml:space="preserve">** Scan package plus €14,900 Device price spread over 5 years (€2,980 per year). Pay-as-you-go carries no annual commitment; the training fee of €1,000 is credited if the Licensee moves to Model 2 or 3. At around 300 or more scans per year the subscription or purchase models generally give a lower cost per scan.</w:t>
      </w:r>
    </w:p>
    <w:p>
      <w:pPr>
        <w:pBdr>
          <w:top w:val="single" w:color="999999" w:sz="4"/>
        </w:pBdr>
        <w:spacing w:before="480"/>
      </w:pPr>
      <w:r>
        <w:rPr>
          <w:rFonts w:ascii="Arial" w:cs="Arial" w:eastAsia="Arial" w:hAnsi="Arial"/>
          <w:color w:val="666666"/>
          <w:sz w:val="16"/>
          <w:szCs w:val="16"/>
        </w:rPr>
        <w:t xml:space="preserve">Prevenova GmbH · Baarerstrasse 19 · 6300 Zug, Switzerland · info@prevenova.com · All prices in EUR excl. VAT</w:t>
      </w:r>
    </w:p>
    <w:sectPr>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2026-09-02T05:55:39.087Z</dcterms:created>
  <dcterms:modified xsi:type="dcterms:W3CDTF">2026-09-02T05:55:39.087Z</dcterms:modified>
</cp:coreProperties>
</file>

<file path=docProps/custom.xml><?xml version="1.0" encoding="utf-8"?>
<Properties xmlns="http://schemas.openxmlformats.org/officeDocument/2006/custom-properties" xmlns:vt="http://schemas.openxmlformats.org/officeDocument/2006/docPropsVTypes"/>
</file>