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p14">
  <w:body>
    <w:p>
      <w:pPr>
        <w:spacing w:after="60" w:before="200"/>
      </w:pPr>
      <w:r>
        <w:rPr>
          <w:rFonts w:ascii="Arial" w:cs="Arial" w:eastAsia="Arial" w:hAnsi="Arial"/>
          <w:b/>
          <w:bCs/>
          <w:i w:val="false"/>
          <w:iCs w:val="false"/>
          <w:color w:val="1B3A6B"/>
          <w:sz w:val="52"/>
          <w:szCs w:val="52"/>
        </w:rPr>
        <w:t xml:space="preserve">Order Form</w:t>
      </w:r>
    </w:p>
    <w:p>
      <w:pPr>
        <w:spacing w:after="8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95959"/>
          <w:sz w:val="26"/>
          <w:szCs w:val="26"/>
        </w:rPr>
        <w:t xml:space="preserve">Bindex® Pulse-Echo Ultrasound — Osteoporosis Screening</w:t>
      </w:r>
    </w:p>
    <w:p>
      <w:pPr>
        <w:pBdr>
          <w:bottom w:val="single" w:color="1B3A6B" w:sz="6"/>
        </w:pBdr>
        <w:spacing w:after="120" w:before="120"/>
      </w:pPr>
    </w:p>
    <w:p>
      <w:pPr>
        <w:spacing w:after="4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95959"/>
          <w:sz w:val="20"/>
          <w:szCs w:val="20"/>
        </w:rPr>
        <w:t xml:space="preserve">Prevenova GmbH, Baarerstrasse 19, 6300 Zug, Switzerland (CHE-341.358.274)</w:t>
      </w:r>
    </w:p>
    <w:p>
      <w:pPr>
        <w:spacing w:after="4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95959"/>
          <w:sz w:val="20"/>
          <w:szCs w:val="20"/>
        </w:rPr>
        <w:t xml:space="preserve">Version: July 2026 (v3)  ·  EUR edition — Germany &amp; Austria  ·  Language: English  ·  Governing law: Switzerland</w:t>
      </w:r>
    </w:p>
    <w:p>
      <w:pPr>
        <w:spacing w:after="120" w:before="360"/>
        <w:keepNext/>
      </w:pPr>
      <w:r>
        <w:rPr>
          <w:rFonts w:ascii="Arial" w:cs="Arial" w:eastAsia="Arial" w:hAnsi="Arial"/>
          <w:b/>
          <w:bCs/>
          <w:i w:val="false"/>
          <w:iCs w:val="false"/>
          <w:color w:val="1B3A6B"/>
          <w:sz w:val="24"/>
          <w:szCs w:val="24"/>
        </w:rPr>
        <w:t xml:space="preserve">1.  Customer Details</w:t>
      </w:r>
    </w:p>
    <w:tbl>
      <w:tblPr>
        <w:tblW w:type="dxa" w:w="9638"/>
        <w:tblLayout w:type="fixed"/>
        <w:tblCellMar>
          <w:left w:type="dxa" w:w="0"/>
          <w:right w:type="dxa" w:w="0"/>
        </w:tblCellMar>
        <w:tblBorders>
          <w:top w:val="single" w:color="D8DCE3" w:sz="4"/>
          <w:left w:val="single" w:color="D8DCE3" w:sz="4"/>
          <w:bottom w:val="single" w:color="D8DCE3" w:sz="4"/>
          <w:right w:val="single" w:color="D8DCE3" w:sz="4"/>
          <w:insideH w:val="single" w:color="D8DCE3" w:sz="4"/>
          <w:insideV w:val="single" w:color="D8DCE3" w:sz="4"/>
        </w:tblBorders>
      </w:tblPr>
      <w:tblGrid>
        <w:gridCol w:w="3600"/>
        <w:gridCol w:w="6038"/>
      </w:tblGrid>
      <w:tr>
        <w:trPr>
          <w:tblHeader/>
        </w:trPr>
        <w:tc>
          <w:tcPr>
            <w:gridSpan w:val="2"/>
            <w:shd w:fill="1B3A6B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Customer Details</w:t>
            </w:r>
          </w:p>
        </w:tc>
      </w:tr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Clinic / Company (legal name)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Company registration no.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VAT number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Contact person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Job title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Email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Phone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Billing address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Delivery address (if different)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Purchase order (PO) number, if applicable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</w:tbl>
    <w:p>
      <w:pPr>
        <w:spacing w:after="60" w:before="0"/>
      </w:pPr>
    </w:p>
    <w:p>
      <w:pPr>
        <w:spacing w:after="120" w:before="360"/>
        <w:keepNext/>
      </w:pPr>
      <w:r>
        <w:rPr>
          <w:rFonts w:ascii="Arial" w:cs="Arial" w:eastAsia="Arial" w:hAnsi="Arial"/>
          <w:b/>
          <w:bCs/>
          <w:i w:val="false"/>
          <w:iCs w:val="false"/>
          <w:color w:val="1B3A6B"/>
          <w:sz w:val="24"/>
          <w:szCs w:val="24"/>
        </w:rPr>
        <w:t xml:space="preserve">2.  Order</w:t>
      </w:r>
    </w:p>
    <w:tbl>
      <w:tblPr>
        <w:tblW w:type="dxa" w:w="9638"/>
        <w:tblLayout w:type="fixed"/>
        <w:tblCellMar>
          <w:left w:type="dxa" w:w="0"/>
          <w:right w:type="dxa" w:w="0"/>
        </w:tblCellMar>
        <w:tblBorders>
          <w:top w:val="single" w:color="D8DCE3" w:sz="4"/>
          <w:left w:val="single" w:color="D8DCE3" w:sz="4"/>
          <w:bottom w:val="single" w:color="D8DCE3" w:sz="4"/>
          <w:right w:val="single" w:color="D8DCE3" w:sz="4"/>
          <w:insideH w:val="single" w:color="D8DCE3" w:sz="4"/>
          <w:insideV w:val="single" w:color="D8DCE3" w:sz="4"/>
        </w:tblBorders>
      </w:tblPr>
      <w:tblGrid>
        <w:gridCol w:w="3600"/>
        <w:gridCol w:w="6038"/>
      </w:tblGrid>
      <w:tr>
        <w:trPr>
          <w:tblHeader/>
        </w:trPr>
        <w:tc>
          <w:tcPr>
            <w:gridSpan w:val="2"/>
            <w:shd w:fill="1B3A6B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Order</w:t>
            </w:r>
          </w:p>
        </w:tc>
      </w:tr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Number of Bindex® devices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</w:tbl>
    <w:p>
      <w:pPr>
        <w:spacing w:after="60" w:before="0"/>
      </w:pP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Please select one pricing model (all prices per device, excl. VAT):</w:t>
      </w:r>
    </w:p>
    <w:p>
      <w:pPr>
        <w:spacing w:after="40" w:before="180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☐  Pay as you go — 30% of scan revenue</w:t>
      </w:r>
    </w:p>
    <w:p>
      <w:pPr>
        <w:ind w:left="380"/>
        <w:spacing w:after="20" w:before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Best for pilots and low volume (under approx. 300 scans/year).</w:t>
      </w:r>
    </w:p>
    <w:p>
      <w:pPr>
        <w:ind w:left="380"/>
        <w:spacing w:after="20" w:before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One-time training fee € 1,000 in year one.</w:t>
      </w:r>
    </w:p>
    <w:tbl>
      <w:tblPr>
        <w:tblW w:type="dxa" w:w="9638"/>
        <w:tblLayout w:type="fixed"/>
        <w:tblCellMar>
          <w:left w:type="dxa" w:w="0"/>
          <w:right w:type="dxa" w:w="0"/>
        </w:tblCellMar>
        <w:tblBorders>
          <w:top w:val="single" w:color="D8DCE3" w:sz="4"/>
          <w:left w:val="single" w:color="D8DCE3" w:sz="4"/>
          <w:bottom w:val="single" w:color="D8DCE3" w:sz="4"/>
          <w:right w:val="single" w:color="D8DCE3" w:sz="4"/>
          <w:insideH w:val="single" w:color="D8DCE3" w:sz="4"/>
          <w:insideV w:val="single" w:color="D8DCE3" w:sz="4"/>
        </w:tblBorders>
      </w:tblPr>
      <w:tblGrid>
        <w:gridCol w:w="3600"/>
        <w:gridCol w:w="6038"/>
      </w:tblGrid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Intended end-user price per scan (€)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</w:tbl>
    <w:p>
      <w:pPr>
        <w:spacing w:after="60" w:before="0"/>
      </w:pPr>
    </w:p>
    <w:p>
      <w:pPr>
        <w:spacing w:after="40" w:before="180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☐  Annual subscription — from € 5,990 per year</w:t>
      </w:r>
    </w:p>
    <w:p>
      <w:pPr>
        <w:ind w:left="380"/>
        <w:spacing w:after="20" w:before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No upfront device cost. One predictable annual fee — device, software, support, warranty, training and scans all included. Select package in section 3.</w:t>
      </w:r>
    </w:p>
    <w:p>
      <w:pPr>
        <w:ind w:left="760"/>
        <w:spacing w:after="20" w:before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☐  36-month loyalty contract (subscription only) — 5% off the annual fee plus 100 bonus scans/year on top of your selected package volume</w:t>
      </w:r>
    </w:p>
    <w:p>
      <w:pPr>
        <w:spacing w:after="40" w:before="180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☐  One-time purchase — € 14,900 per device</w:t>
      </w:r>
    </w:p>
    <w:p>
      <w:pPr>
        <w:ind w:left="380"/>
        <w:spacing w:after="20" w:before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Own the device outright. Plus annual scan package — select in section 3.</w:t>
      </w:r>
    </w:p>
    <w:p>
      <w:pPr>
        <w:ind w:left="760"/>
        <w:spacing w:after="20" w:before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☐  Extended warranty (purchase only) — € 390/year, covers years 3–5</w:t>
      </w:r>
    </w:p>
    <w:p>
      <w:pPr>
        <w:spacing w:after="120" w:before="360"/>
        <w:keepNext/>
      </w:pPr>
      <w:r>
        <w:rPr>
          <w:rFonts w:ascii="Arial" w:cs="Arial" w:eastAsia="Arial" w:hAnsi="Arial"/>
          <w:b/>
          <w:bCs/>
          <w:i w:val="false"/>
          <w:iCs w:val="false"/>
          <w:color w:val="1B3A6B"/>
          <w:sz w:val="24"/>
          <w:szCs w:val="24"/>
        </w:rPr>
        <w:t xml:space="preserve">3.  Scan Package</w:t>
      </w:r>
    </w:p>
    <w:tbl>
      <w:tblPr>
        <w:tblW w:type="dxa" w:w="9600"/>
        <w:tblLayout w:type="fixed"/>
        <w:tblCellMar>
          <w:left w:type="dxa" w:w="0"/>
          <w:right w:type="dxa" w:w="0"/>
        </w:tblCellMar>
        <w:tblBorders>
          <w:top w:val="single" w:color="D8DCE3" w:sz="4"/>
          <w:left w:val="single" w:color="D8DCE3" w:sz="4"/>
          <w:bottom w:val="single" w:color="D8DCE3" w:sz="4"/>
          <w:right w:val="single" w:color="D8DCE3" w:sz="4"/>
          <w:insideH w:val="single" w:color="D8DCE3" w:sz="4"/>
          <w:insideV w:val="single" w:color="D8DCE3" w:sz="4"/>
        </w:tblBorders>
      </w:tblPr>
      <w:tblGrid>
        <w:gridCol w:w="1900"/>
        <w:gridCol w:w="1900"/>
        <w:gridCol w:w="2900"/>
        <w:gridCol w:w="2900"/>
      </w:tblGrid>
      <w:tr>
        <w:trPr>
          <w:tblHeader/>
        </w:trPr>
        <w:tc>
          <w:tcPr>
            <w:gridSpan w:val="4"/>
            <w:shd w:fill="1B3A6B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Scan Package (prepaid yearly, excl. VAT)</w:t>
            </w:r>
          </w:p>
        </w:tc>
      </w:tr>
      <w:tr>
        <w:trPr>
          <w:tblHeader/>
        </w:trPr>
        <w:tc>
          <w:tcPr>
            <w:tcW w:type="dxa" w:w="1900"/>
            <w:shd w:fill="E8ECF2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Package</w:t>
            </w:r>
          </w:p>
        </w:tc>
        <w:tc>
          <w:tcPr>
            <w:tcW w:type="dxa" w:w="1900"/>
            <w:shd w:fill="E8ECF2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Scans / year</w:t>
            </w:r>
          </w:p>
        </w:tc>
        <w:tc>
          <w:tcPr>
            <w:tcW w:type="dxa" w:w="2900"/>
            <w:shd w:fill="E8ECF2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Annual subscription</w:t>
            </w:r>
          </w:p>
        </w:tc>
        <w:tc>
          <w:tcPr>
            <w:tcW w:type="dxa" w:w="2900"/>
            <w:shd w:fill="E8ECF2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One-time purchase: scan package</w:t>
            </w:r>
          </w:p>
        </w:tc>
      </w:tr>
      <w:tr>
        <w:tc>
          <w:tcPr>
            <w:tcW w:type="dxa" w:w="19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Entry</w:t>
            </w:r>
          </w:p>
        </w:tc>
        <w:tc>
          <w:tcPr>
            <w:tcW w:type="dxa" w:w="19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200</w:t>
            </w:r>
          </w:p>
        </w:tc>
        <w:tc>
          <w:tcPr>
            <w:tcW w:type="dxa" w:w="29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 € 5,990 /year</w:t>
            </w:r>
          </w:p>
        </w:tc>
        <w:tc>
          <w:tcPr>
            <w:tcW w:type="dxa" w:w="29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 € 2,490 /year</w:t>
            </w:r>
          </w:p>
        </w:tc>
      </w:tr>
      <w:tr>
        <w:tc>
          <w:tcPr>
            <w:tcW w:type="dxa" w:w="1900"/>
            <w:shd w:fill="FAFBFC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Starter</w:t>
            </w:r>
          </w:p>
        </w:tc>
        <w:tc>
          <w:tcPr>
            <w:tcW w:type="dxa" w:w="1900"/>
            <w:shd w:fill="FAFBFC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400</w:t>
            </w:r>
          </w:p>
        </w:tc>
        <w:tc>
          <w:tcPr>
            <w:tcW w:type="dxa" w:w="2900"/>
            <w:shd w:fill="FAFBFC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 € 6,990 /year</w:t>
            </w:r>
          </w:p>
        </w:tc>
        <w:tc>
          <w:tcPr>
            <w:tcW w:type="dxa" w:w="2900"/>
            <w:shd w:fill="FAFBFC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 € 3,490 /year</w:t>
            </w:r>
          </w:p>
        </w:tc>
      </w:tr>
      <w:tr>
        <w:tc>
          <w:tcPr>
            <w:tcW w:type="dxa" w:w="19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Bronze</w:t>
            </w:r>
          </w:p>
        </w:tc>
        <w:tc>
          <w:tcPr>
            <w:tcW w:type="dxa" w:w="19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800</w:t>
            </w:r>
          </w:p>
        </w:tc>
        <w:tc>
          <w:tcPr>
            <w:tcW w:type="dxa" w:w="29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 € 8,290 /year</w:t>
            </w:r>
          </w:p>
        </w:tc>
        <w:tc>
          <w:tcPr>
            <w:tcW w:type="dxa" w:w="29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 € 4,790 /year</w:t>
            </w:r>
          </w:p>
        </w:tc>
      </w:tr>
      <w:tr>
        <w:tc>
          <w:tcPr>
            <w:tcW w:type="dxa" w:w="1900"/>
            <w:shd w:fill="FAFBFC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Silver</w:t>
            </w:r>
          </w:p>
        </w:tc>
        <w:tc>
          <w:tcPr>
            <w:tcW w:type="dxa" w:w="1900"/>
            <w:shd w:fill="FAFBFC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1,600</w:t>
            </w:r>
          </w:p>
        </w:tc>
        <w:tc>
          <w:tcPr>
            <w:tcW w:type="dxa" w:w="2900"/>
            <w:shd w:fill="FAFBFC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 € 9,490 /year</w:t>
            </w:r>
          </w:p>
        </w:tc>
        <w:tc>
          <w:tcPr>
            <w:tcW w:type="dxa" w:w="2900"/>
            <w:shd w:fill="FAFBFC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 € 5,990 /year</w:t>
            </w:r>
          </w:p>
        </w:tc>
      </w:tr>
      <w:tr>
        <w:tc>
          <w:tcPr>
            <w:tcW w:type="dxa" w:w="19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Gold</w:t>
            </w:r>
          </w:p>
        </w:tc>
        <w:tc>
          <w:tcPr>
            <w:tcW w:type="dxa" w:w="19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Unlimited</w:t>
            </w:r>
          </w:p>
        </w:tc>
        <w:tc>
          <w:tcPr>
            <w:tcW w:type="dxa" w:w="29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 € 11,490 /year</w:t>
            </w:r>
          </w:p>
        </w:tc>
        <w:tc>
          <w:tcPr>
            <w:tcW w:type="dxa" w:w="29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 € 7,990 /year</w:t>
            </w:r>
          </w:p>
        </w:tc>
      </w:tr>
    </w:tbl>
    <w:p>
      <w:pPr>
        <w:spacing w:after="60" w:before="0"/>
      </w:pPr>
    </w:p>
    <w:p>
      <w:pPr>
        <w:spacing w:after="4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95959"/>
          <w:sz w:val="19"/>
          <w:szCs w:val="19"/>
        </w:rPr>
        <w:t xml:space="preserve">Purchase: 2-year hardware warranty included; Bronze, Silver and Gold include lifetime device warranty.</w:t>
      </w:r>
    </w:p>
    <w:p>
      <w:pPr>
        <w:spacing w:after="4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95959"/>
          <w:sz w:val="19"/>
          <w:szCs w:val="19"/>
        </w:rPr>
        <w:t xml:space="preserve">Subscription: device, software, support, warranty, training and scans all included. Training always included.</w:t>
      </w:r>
    </w:p>
    <w:p>
      <w:pPr>
        <w:spacing w:after="4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95959"/>
          <w:sz w:val="19"/>
          <w:szCs w:val="19"/>
        </w:rPr>
        <w:t xml:space="preserve">Unused scans don't roll over. Upgrade any time by paying the difference.</w:t>
      </w:r>
    </w:p>
    <w:p>
      <w:pPr>
        <w:spacing w:after="4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95959"/>
          <w:sz w:val="19"/>
          <w:szCs w:val="19"/>
        </w:rPr>
        <w:t xml:space="preserve">Payment terms: 30 days net from invoice date. All prices exclude VAT.</w:t>
      </w:r>
    </w:p>
    <w:p>
      <w:pPr>
        <w:spacing w:after="120" w:before="360"/>
        <w:keepNext/>
      </w:pPr>
      <w:r>
        <w:rPr>
          <w:rFonts w:ascii="Arial" w:cs="Arial" w:eastAsia="Arial" w:hAnsi="Arial"/>
          <w:b/>
          <w:bCs/>
          <w:i w:val="false"/>
          <w:iCs w:val="false"/>
          <w:color w:val="1B3A6B"/>
          <w:sz w:val="24"/>
          <w:szCs w:val="24"/>
        </w:rPr>
        <w:t xml:space="preserve">4.  Training</w:t>
      </w:r>
    </w:p>
    <w:tbl>
      <w:tblPr>
        <w:tblW w:type="dxa" w:w="9638"/>
        <w:tblLayout w:type="fixed"/>
        <w:tblCellMar>
          <w:left w:type="dxa" w:w="0"/>
          <w:right w:type="dxa" w:w="0"/>
        </w:tblCellMar>
        <w:tblBorders>
          <w:top w:val="single" w:color="D8DCE3" w:sz="4"/>
          <w:left w:val="single" w:color="D8DCE3" w:sz="4"/>
          <w:bottom w:val="single" w:color="D8DCE3" w:sz="4"/>
          <w:right w:val="single" w:color="D8DCE3" w:sz="4"/>
          <w:insideH w:val="single" w:color="D8DCE3" w:sz="4"/>
          <w:insideV w:val="single" w:color="D8DCE3" w:sz="4"/>
        </w:tblBorders>
      </w:tblPr>
      <w:tblGrid>
        <w:gridCol w:w="3600"/>
        <w:gridCol w:w="6038"/>
      </w:tblGrid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Number of staff to be trained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</w:tbl>
    <w:p>
      <w:pPr>
        <w:spacing w:after="60" w:before="0"/>
      </w:pPr>
    </w:p>
    <w:p>
      <w:pPr>
        <w:spacing w:after="4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95959"/>
          <w:sz w:val="19"/>
          <w:szCs w:val="19"/>
        </w:rPr>
        <w:t xml:space="preserve">Training takes place on-site at your clinic / practice.</w:t>
      </w:r>
    </w:p>
    <w:p>
      <w:pPr>
        <w:spacing w:after="120" w:before="360"/>
        <w:keepNext/>
      </w:pPr>
      <w:r>
        <w:rPr>
          <w:rFonts w:ascii="Arial" w:cs="Arial" w:eastAsia="Arial" w:hAnsi="Arial"/>
          <w:b/>
          <w:bCs/>
          <w:i w:val="false"/>
          <w:iCs w:val="false"/>
          <w:color w:val="1B3A6B"/>
          <w:sz w:val="24"/>
          <w:szCs w:val="24"/>
        </w:rPr>
        <w:t xml:space="preserve">5.  Desired Start Date</w:t>
      </w:r>
    </w:p>
    <w:tbl>
      <w:tblPr>
        <w:tblW w:type="dxa" w:w="9638"/>
        <w:tblLayout w:type="fixed"/>
        <w:tblCellMar>
          <w:left w:type="dxa" w:w="0"/>
          <w:right w:type="dxa" w:w="0"/>
        </w:tblCellMar>
        <w:tblBorders>
          <w:top w:val="single" w:color="D8DCE3" w:sz="4"/>
          <w:left w:val="single" w:color="D8DCE3" w:sz="4"/>
          <w:bottom w:val="single" w:color="D8DCE3" w:sz="4"/>
          <w:right w:val="single" w:color="D8DCE3" w:sz="4"/>
          <w:insideH w:val="single" w:color="D8DCE3" w:sz="4"/>
          <w:insideV w:val="single" w:color="D8DCE3" w:sz="4"/>
        </w:tblBorders>
      </w:tblPr>
      <w:tblGrid>
        <w:gridCol w:w="3600"/>
        <w:gridCol w:w="6038"/>
      </w:tblGrid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Desired start date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</w:tbl>
    <w:p>
      <w:pPr>
        <w:spacing w:after="60" w:before="0"/>
      </w:pP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/>
          <w:iCs/>
          <w:color w:val="595959"/>
          <w:sz w:val="19"/>
          <w:szCs w:val="19"/>
        </w:rPr>
        <w:t xml:space="preserve">Non-binding — the final start date will be set out in the Sales Contract.</w:t>
      </w:r>
    </w:p>
    <w:p>
      <w:pPr>
        <w:spacing w:after="120" w:before="360"/>
        <w:keepNext/>
      </w:pPr>
      <w:r>
        <w:rPr>
          <w:rFonts w:ascii="Arial" w:cs="Arial" w:eastAsia="Arial" w:hAnsi="Arial"/>
          <w:b/>
          <w:bCs/>
          <w:i w:val="false"/>
          <w:iCs w:val="false"/>
          <w:color w:val="1B3A6B"/>
          <w:sz w:val="24"/>
          <w:szCs w:val="24"/>
        </w:rPr>
        <w:t xml:space="preserve">6.  Comments</w:t>
      </w:r>
    </w:p>
    <w:tbl>
      <w:tblPr>
        <w:tblW w:type="dxa" w:w="9638"/>
        <w:tblLayout w:type="fixed"/>
        <w:tblCellMar>
          <w:left w:type="dxa" w:w="0"/>
          <w:right w:type="dxa" w:w="0"/>
        </w:tblCellMar>
        <w:tblBorders>
          <w:top w:val="single" w:color="D8DCE3" w:sz="4"/>
          <w:left w:val="single" w:color="D8DCE3" w:sz="4"/>
          <w:bottom w:val="single" w:color="D8DCE3" w:sz="4"/>
          <w:right w:val="single" w:color="D8DCE3" w:sz="4"/>
          <w:insideH w:val="single" w:color="D8DCE3" w:sz="4"/>
          <w:insideV w:val="single" w:color="D8DCE3" w:sz="4"/>
        </w:tblBorders>
      </w:tblPr>
      <w:tblGrid>
        <w:gridCol w:w="9638"/>
      </w:tblGrid>
      <w:tr>
        <w:tc>
          <w:tcPr>
            <w:tcW w:type="dxa" w:w="96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  <w:p>
            <w:pPr>
              <w:spacing w:after="0" w:before="0"/>
            </w:pPr>
          </w:p>
          <w:p>
            <w:pPr>
              <w:spacing w:after="0" w:before="0"/>
            </w:pPr>
          </w:p>
          <w:p>
            <w:pPr>
              <w:spacing w:after="0" w:before="0"/>
            </w:pPr>
          </w:p>
          <w:p>
            <w:pPr>
              <w:spacing w:after="0" w:before="0"/>
            </w:pPr>
          </w:p>
        </w:tc>
      </w:tr>
    </w:tbl>
    <w:p>
      <w:pPr>
        <w:spacing w:after="60" w:before="0"/>
      </w:pPr>
    </w:p>
    <w:p>
      <w:pPr>
        <w:spacing w:after="120" w:before="360"/>
        <w:keepNext/>
      </w:pPr>
      <w:r>
        <w:rPr>
          <w:rFonts w:ascii="Arial" w:cs="Arial" w:eastAsia="Arial" w:hAnsi="Arial"/>
          <w:b/>
          <w:bCs/>
          <w:i w:val="false"/>
          <w:iCs w:val="false"/>
          <w:color w:val="1B3A6B"/>
          <w:sz w:val="24"/>
          <w:szCs w:val="24"/>
        </w:rPr>
        <w:t xml:space="preserve">7.  Confirmation &amp; Signature</w:t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☐  I confirm that the information above is correct and that I have read and accepted the Prevenova General Terms and Conditions. This Order Form is non-binding: a binding agreement is formed only when both parties have signed the Sales Contract.</w:t>
      </w:r>
    </w:p>
    <w:tbl>
      <w:tblPr>
        <w:tblW w:type="dxa" w:w="9638"/>
        <w:tblLayout w:type="fixed"/>
        <w:tblCellMar>
          <w:left w:type="dxa" w:w="0"/>
          <w:right w:type="dxa" w:w="0"/>
        </w:tblCellMar>
        <w:tblBorders>
          <w:top w:val="single" w:color="D8DCE3" w:sz="4"/>
          <w:left w:val="single" w:color="D8DCE3" w:sz="4"/>
          <w:bottom w:val="single" w:color="D8DCE3" w:sz="4"/>
          <w:right w:val="single" w:color="D8DCE3" w:sz="4"/>
          <w:insideH w:val="single" w:color="D8DCE3" w:sz="4"/>
          <w:insideV w:val="single" w:color="D8DCE3" w:sz="4"/>
        </w:tblBorders>
      </w:tblPr>
      <w:tblGrid>
        <w:gridCol w:w="3200"/>
        <w:gridCol w:w="3200"/>
        <w:gridCol w:w="3238"/>
      </w:tblGrid>
      <w:tr>
        <w:trPr>
          <w:trHeight w:val="680"/>
        </w:trPr>
        <w:tc>
          <w:tcPr>
            <w:tcW w:type="dxa" w:w="32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Place, date</w:t>
            </w:r>
          </w:p>
        </w:tc>
        <w:tc>
          <w:tcPr>
            <w:tcW w:type="dxa" w:w="32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Name (print)</w:t>
            </w:r>
          </w:p>
        </w:tc>
        <w:tc>
          <w:tcPr>
            <w:tcW w:type="dxa" w:w="32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Signature</w:t>
            </w:r>
          </w:p>
        </w:tc>
      </w:tr>
      <w:tr>
        <w:trPr>
          <w:trHeight w:val="680"/>
        </w:trPr>
        <w:tc>
          <w:tcPr>
            <w:tcW w:type="dxa" w:w="32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  <w:tc>
          <w:tcPr>
            <w:tcW w:type="dxa" w:w="32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  <w:tc>
          <w:tcPr>
            <w:tcW w:type="dxa" w:w="32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</w:tbl>
    <w:p>
      <w:pPr>
        <w:spacing w:after="60" w:before="0"/>
      </w:pP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Please send the completed form to: info@prevenova.com</w:t>
      </w:r>
    </w:p>
    <w:sectPr>
      <w:headerReference w:type="default" r:id="rId7"/>
      <w:footerReference w:type="default" r:id="rId8"/>
      <w:pgSz w:w="11906" w:h="16838" w:orient="portrait"/>
      <w:pgMar w:top="1985" w:right="1134" w:bottom="1247" w:left="1134" w:header="567" w:footer="567" w:gutter="0"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>
  <w:p>
    <w:pPr>
      <w:pBdr>
        <w:top w:val="single" w:color="1B3A6B" w:sz="4"/>
      </w:pBdr>
      <w:spacing w:before="60"/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color w:val="595959"/>
        <w:sz w:val="14"/>
        <w:szCs w:val="14"/>
      </w:rPr>
      <w:t xml:space="preserve">Prevenova GmbH · Baarerstrasse 19 · 6300 Zug · info@prevenova.com     </w:t>
    </w:r>
    <w:r>
      <w:rPr>
        <w:rFonts w:ascii="Arial" w:cs="Arial" w:eastAsia="Arial" w:hAnsi="Arial"/>
        <w:b w:val="false"/>
        <w:bCs w:val="false"/>
        <w:i w:val="false"/>
        <w:iCs w:val="false"/>
        <w:color w:val="595959"/>
        <w:sz w:val="14"/>
        <w:szCs w:val="14"/>
      </w:rPr>
      <w:t xml:space="preserve">Order Form  |  Page </w:t>
    </w:r>
    <w:r>
      <w:rPr>
        <w:rFonts w:ascii="Arial" w:cs="Arial" w:eastAsia="Arial" w:hAnsi="Arial"/>
        <w:b w:val="false"/>
        <w:bCs w:val="false"/>
        <w:i w:val="false"/>
        <w:iCs w:val="false"/>
        <w:color w:val="595959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b w:val="false"/>
        <w:bCs w:val="false"/>
        <w:i w:val="false"/>
        <w:iCs w:val="false"/>
        <w:color w:val="595959"/>
        <w:sz w:val="14"/>
        <w:szCs w:val="14"/>
      </w:rPr>
      <w:t xml:space="preserve"> of </w:t>
    </w:r>
    <w:r>
      <w:rPr>
        <w:rFonts w:ascii="Arial" w:cs="Arial" w:eastAsia="Arial" w:hAnsi="Arial"/>
        <w:b w:val="false"/>
        <w:bCs w:val="false"/>
        <w:i w:val="false"/>
        <w:iCs w:val="false"/>
        <w:color w:val="595959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>
  <w:p>
    <w:pPr>
      <w:spacing w:after="20" w:before="0"/>
    </w:pPr>
    <w:r>
      <w:drawing>
        <wp:inline distT="0" distB="0" distL="0" distR="0">
          <wp:extent cx="1620000" cy="372000"/>
          <wp:docPr id="1" name="Prevenova"/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10"/>
                  <a:stretch>
                    <a:fillRect/>
                  </a:stretch>
                </pic:blipFill>
                <pic:spPr>
                  <a:xfrm>
                    <a:off x="0" y="0"/>
                    <a:ext cx="1620000" cy="37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single" w:color="1B3A6B" w:sz="4"/>
      </w:pBdr>
      <w:tabs>
        <w:tab w:val="right" w:pos="9638"/>
      </w:tabs>
      <w:spacing w:after="120" w:before="0"/>
    </w:pPr>
    <w:r>
      <w:rPr>
        <w:rFonts w:ascii="Arial" w:cs="Arial" w:eastAsia="Arial" w:hAnsi="Arial"/>
        <w:b w:val="false"/>
        <w:bCs w:val="false"/>
        <w:i w:val="false"/>
        <w:iCs w:val="false"/>
        <w:color w:val="1B3A6B"/>
        <w:sz w:val="16"/>
        <w:szCs w:val="16"/>
      </w:rPr>
      <w:t xml:space="preserve">Prevenova GmbH</w:t>
    </w:r>
    <w:r>
      <w:rPr>
        <w:rFonts w:ascii="Arial" w:cs="Arial" w:eastAsia="Arial" w:hAnsi="Arial"/>
        <w:b w:val="false"/>
        <w:bCs w:val="false"/>
        <w:i w:val="false"/>
        <w:iCs w:val="false"/>
        <w:color w:val="1B3A6B"/>
        <w:sz w:val="16"/>
        <w:szCs w:val="16"/>
      </w:rPr>
      <w:tab/>
    </w:r>
    <w:r>
      <w:rPr>
        <w:rFonts w:ascii="Arial" w:cs="Arial" w:eastAsia="Arial" w:hAnsi="Arial"/>
        <w:b w:val="false"/>
        <w:bCs w:val="false"/>
        <w:i w:val="false"/>
        <w:iCs w:val="false"/>
        <w:color w:val="1B3A6B"/>
        <w:sz w:val="16"/>
        <w:szCs w:val="16"/>
      </w:rPr>
      <w:t xml:space="preserve">Order Form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>
  <w:abstractNum w:abstractNumId="1">
    <w:lvl w:ilvl="0">
      <w:start w:val="1"/>
      <w:numFmt w:val="bullet"/>
      <w:lvlText w:val="•"/>
      <w:lvlJc w:val="left"/>
      <w:pPr>
        <w:ind w:left="480" w:hanging="240"/>
      </w:pPr>
      <w:rPr>
        <w:rFonts w:ascii="Arial" w:hAnsi="Arial" w:cs="Arial"/>
      </w:rPr>
    </w:lvl>
  </w:abstractNum>
  <w:num w:numId="1">
    <w:abstractNumId w:val="1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>
  <w:defaultTabStop w:val="720"/>
  <w:compat/>
</w:settings>
</file>

<file path=word/style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>
  <w:docDefaults>
    <w:rPrDefault>
      <w:rPr>
        <w:rFonts w:ascii="Arial" w:cs="Arial" w:eastAsia="Arial" w:hAnsi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</w:style>
  <w:style w:type="table" w:default="1" w:styleId="TableNormal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Relationship Id="rId3" Type="http://schemas.openxmlformats.org/officeDocument/2006/relationships/settings" Target="settings.xml"/>
<Relationship Id="rId7" Type="http://schemas.openxmlformats.org/officeDocument/2006/relationships/header" Target="header1.xml"/>
<Relationship Id="rId8" Type="http://schemas.openxmlformats.org/officeDocument/2006/relationships/footer" Target="footer1.xml"/>
</Relationships>
</file>

<file path=word/_rels/header1.xml.rels><?xml version="1.0" encoding="UTF-8" standalone="yes"?>
<Relationships xmlns="http://schemas.openxmlformats.org/package/2006/relationships">
<Relationship Id="rId10" Type="http://schemas.openxmlformats.org/officeDocument/2006/relationships/image" Target="media/logo.png"/>
</Relationships>
</file>

<file path=docProps/app.xml><?xml version="1.0" encoding="utf-8"?>
<Properties xmlns="http://schemas.openxmlformats.org/officeDocument/2006/extended-properties" xmlns:vt="http://schemas.openxmlformats.org/officeDocument/2006/docPropsVTypes">
  <Company>Prevenova GmbH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Order Form</dc:title>
  <dc:creator>Prevenova GmbH</dc:creator>
  <cp:lastModifiedBy>Prevenova GmbH</cp:lastModifiedBy>
  <dc:language>en-GB</dc:language>
</cp:coreProperties>
</file>