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body>
    <w:p>
      <w:pPr>
        <w:spacing w:after="60" w:before="200"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52"/>
          <w:szCs w:val="52"/>
        </w:rPr>
        <w:t xml:space="preserve">Bestellformular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6"/>
          <w:szCs w:val="26"/>
        </w:rPr>
        <w:t xml:space="preserve">Bindex® Pulse-Echo-Ultraschall — Osteoporose-Screening</w:t>
      </w:r>
    </w:p>
    <w:p>
      <w:pPr>
        <w:pBdr>
          <w:bottom w:val="single" w:color="1B3A6B" w:sz="6"/>
        </w:pBdr>
        <w:spacing w:after="120" w:before="12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0"/>
          <w:szCs w:val="20"/>
        </w:rPr>
        <w:t xml:space="preserve">Prevenova GmbH, Baarerstrasse 19, 6300 Zug, Schweiz (CHE-341.358.274)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0"/>
          <w:szCs w:val="20"/>
        </w:rPr>
        <w:t xml:space="preserve">Fassung: Juli 2026 (v3)  ·  CHF-Ausgabe — Schweiz  ·  Sprache: Deutsch (Übersetzung)  ·  Anwendbares Recht: Schweiz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Diese deutsche Fassung ist eine Übersetzung zur Erleichterung des Verständnisses. Massgebend ist ausschliesslich die englische Fassung.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1.  Kundendaten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blHeader/>
        </w:trPr>
        <w:tc>
          <w:tcPr>
            <w:gridSpan w:val="2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Kundendaten</w:t>
            </w: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Klinik / Unternehmen (rechtlicher Name)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Registernummer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USt-IdNr. / MwSt-Nr.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Ansprechpartner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Funktion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E-Mail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Telefon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Rechnungsadresse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Lieferadresse (falls abweichend)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Bestellnummer (PO), falls vorhanden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2.  Bestellung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blHeader/>
        </w:trPr>
        <w:tc>
          <w:tcPr>
            <w:gridSpan w:val="2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Bestellung</w:t>
            </w: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Anzahl Bindex® Geräte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Bitte wählen Sie ein Preismodell (alle Preise pro Gerät, zzgl. MwSt.):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Pay as you go — 30 % des Scan-Umsatzes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Ideal für Pilotprojekte und geringe Volumen (unter ca. 300 Scans/Jahr).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Einmalige Schulungsgebühr CHF 1’000 im ersten Jahr.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Vorgesehener Endkundenpreis pro Scan (CHF)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Jahresabonnement — ab CHF 5’990 pro Jahr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Keine Anschaffungskosten für das Gerät. Eine planbare Jahresgebühr — Gerät, Software, Support, Garantie, Schulung und Scans inklusive. Paket in Abschnitt 3 wählen.</w:t>
      </w:r>
    </w:p>
    <w:p>
      <w:pPr>
        <w:ind w:left="76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☐  36-Monats-Loyalitätsvertrag (nur Abonnement) — 5 % Rabatt auf die Jahresgebühr plus 100 Bonus-Scans/Jahr zusätzlich zum gewählten Paketvolumen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Einmalkauf — CHF 14’900 pro Gerät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Das Gerät geht in Ihr Eigentum über. Zuzüglich jährliches Scan-Paket — in Abschnitt 3 wählen.</w:t>
      </w:r>
    </w:p>
    <w:p>
      <w:pPr>
        <w:ind w:left="76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☐  Garantieverlängerung (nur Kauf) — CHF 390/Jahr, deckt die Jahre 3–5 ab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3.  Scan-Paket</w:t>
      </w:r>
    </w:p>
    <w:tbl>
      <w:tblPr>
        <w:tblW w:type="dxa" w:w="9600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1900"/>
        <w:gridCol w:w="1900"/>
        <w:gridCol w:w="2900"/>
        <w:gridCol w:w="2900"/>
      </w:tblGrid>
      <w:tr>
        <w:trPr>
          <w:tblHeader/>
        </w:trPr>
        <w:tc>
          <w:tcPr>
            <w:gridSpan w:val="4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Scan-Paket (jährlich im Voraus, zzgl. MwSt.)</w:t>
            </w:r>
          </w:p>
        </w:tc>
      </w:tr>
      <w:tr>
        <w:trPr>
          <w:tblHeader/>
        </w:trPr>
        <w:tc>
          <w:tcPr>
            <w:tcW w:type="dxa" w:w="1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Paket</w:t>
            </w:r>
          </w:p>
        </w:tc>
        <w:tc>
          <w:tcPr>
            <w:tcW w:type="dxa" w:w="1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Scans / Jahr</w:t>
            </w:r>
          </w:p>
        </w:tc>
        <w:tc>
          <w:tcPr>
            <w:tcW w:type="dxa" w:w="2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Jahresabonnement</w:t>
            </w:r>
          </w:p>
        </w:tc>
        <w:tc>
          <w:tcPr>
            <w:tcW w:type="dxa" w:w="2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Einmalkauf: Scan-Paket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Entry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200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5’990 /Jahr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2’490 /Jahr</w:t>
            </w:r>
          </w:p>
        </w:tc>
      </w:tr>
      <w:tr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Starter</w:t>
            </w:r>
          </w:p>
        </w:tc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400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6’990 /Jahr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3’490 /Jahr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Bronze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800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8’290 /Jahr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4’790 /Jahr</w:t>
            </w:r>
          </w:p>
        </w:tc>
      </w:tr>
      <w:tr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Silver</w:t>
            </w:r>
          </w:p>
        </w:tc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1’600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9’490 /Jahr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5’990 /Jahr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Gold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Unbegrenzt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11’490 /Jahr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7’990 /Jahr</w:t>
            </w:r>
          </w:p>
        </w:tc>
      </w:tr>
    </w:tbl>
    <w:p>
      <w:pPr>
        <w:spacing w:after="60" w:before="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Kauf: 2 Jahre Hardware-Garantie inbegriffen; Bronze, Silver und Gold beinhalten eine lebenslange Gerätegarantie.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Abonnement: Gerät, Software, Support, Garantie, Schulung und Scans inklusive. Schulung immer enthalten.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Nicht genutzte Scans werden nicht übertragen. Upgrade jederzeit durch Zahlung der Differenz.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Zahlungsbedingungen: 30 Tage netto ab Rechnungsdatum. Alle Preise zzgl. MwSt.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4.  Schulung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Anzahl zu schulender Mitarbeitender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Die Schulung findet vor Ort in Ihrer Klinik / Praxis statt.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5.  Gewünschtes Startdatum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Gewünschtes Startdatum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595959"/>
          <w:sz w:val="19"/>
          <w:szCs w:val="19"/>
        </w:rPr>
        <w:t xml:space="preserve">Unverbindlich — das endgültige Startdatum wird im Kaufvertrag festgelegt.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6.  Bemerkungen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9638"/>
      </w:tblGrid>
      <w:tr>
        <w:tc>
          <w:tcPr>
            <w:tcW w:type="dxa" w:w="96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7.  Bestätigung &amp; Unterschrift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☐  Ich bestätige, dass die vorstehenden Angaben richtig sind und dass ich die Allgemeinen Geschäftsbedingungen von Prevenova gelesen und akzeptiert habe. Dieses Bestellformular ist unverbindlich: Ein verbindlicher Vertrag kommt erst mit der beidseitigen Unterzeichnung des Kaufvertrags zustande.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200"/>
        <w:gridCol w:w="3200"/>
        <w:gridCol w:w="3238"/>
      </w:tblGrid>
      <w:tr>
        <w:trPr>
          <w:trHeight w:val="680"/>
        </w:trPr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Ort, Datum</w:t>
            </w:r>
          </w:p>
        </w:tc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Name (in Druckschrift)</w:t>
            </w:r>
          </w:p>
        </w:tc>
        <w:tc>
          <w:tcPr>
            <w:tcW w:type="dxa" w:w="32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Unterschrift</w:t>
            </w:r>
          </w:p>
        </w:tc>
      </w:tr>
      <w:tr>
        <w:trPr>
          <w:trHeight w:val="680"/>
        </w:trPr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  <w:tc>
          <w:tcPr>
            <w:tcW w:type="dxa" w:w="32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Bitte senden Sie das ausgefüllte Formular an: info@prevenova.com</w:t>
      </w:r>
    </w:p>
    <w:sectPr>
      <w:headerReference w:type="default" r:id="rId7"/>
      <w:footerReference w:type="default" r:id="rId8"/>
      <w:pgSz w:w="11906" w:h="16838" w:orient="portrait"/>
      <w:pgMar w:top="1985" w:right="1134" w:bottom="1247" w:left="1134" w:header="567" w:footer="567" w:gutter="0"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p>
    <w:pPr>
      <w:pBdr>
        <w:top w:val="single" w:color="1B3A6B" w:sz="4"/>
      </w:pBdr>
      <w:spacing w:before="6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Prevenova GmbH · Baarerstrasse 19 · 6300 Zug · info@prevenova.com    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Bestellformular  |  Seite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 von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p>
    <w:pPr>
      <w:spacing w:after="20" w:before="0"/>
    </w:pPr>
    <w:r>
      <w:drawing>
        <wp:inline distT="0" distB="0" distL="0" distR="0">
          <wp:extent cx="1620000" cy="372000"/>
          <wp:docPr id="1" name="Prevenova"/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10"/>
                  <a:stretch>
                    <a:fillRect/>
                  </a:stretch>
                </pic:blipFill>
                <pic:spPr>
                  <a:xfrm>
                    <a:off x="0" y="0"/>
                    <a:ext cx="1620000" cy="3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B3A6B" w:sz="4"/>
      </w:pBdr>
      <w:tabs>
        <w:tab w:val="right" w:pos="9638"/>
      </w:tabs>
      <w:spacing w:after="120" w:before="0"/>
    </w:pP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 xml:space="preserve">Prevenova GmbH</w:t>
    </w: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ab/>
    </w: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 xml:space="preserve">Bestellformular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abstractNum w:abstractNumId="1">
    <w:lvl w:ilvl="0">
      <w:start w:val="1"/>
      <w:numFmt w:val="bullet"/>
      <w:lvlText w:val="•"/>
      <w:lvlJc w:val="left"/>
      <w:pPr>
        <w:ind w:left="480" w:hanging="240"/>
      </w:pPr>
      <w:rPr>
        <w:rFonts w:ascii="Arial" w:hAnsi="Arial" w:cs="Arial"/>
      </w:rPr>
    </w:lvl>
  </w:abstractNum>
  <w:num w:numId="1">
    <w:abstractNumId w:val="1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defaultTabStop w:val="720"/>
  <w:compat/>
</w:settings>
</file>

<file path=word/style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docDefaults>
    <w:rPrDefault>
      <w:rPr>
        <w:rFonts w:ascii="Arial" w:cs="Arial" w:eastAsia="Arial" w:hAnsi="Arial"/>
        <w:sz w:val="22"/>
        <w:szCs w:val="22"/>
        <w:lang w:val="de-DE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settings" Target="settings.xml"/>
<Relationship Id="rId7" Type="http://schemas.openxmlformats.org/officeDocument/2006/relationships/header" Target="header1.xml"/>
<Relationship Id="rId8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0" Type="http://schemas.openxmlformats.org/officeDocument/2006/relationships/image" Target="media/logo.png"/>
</Relationships>
</file>

<file path=docProps/app.xml><?xml version="1.0" encoding="utf-8"?>
<Properties xmlns="http://schemas.openxmlformats.org/officeDocument/2006/extended-properties" xmlns:vt="http://schemas.openxmlformats.org/officeDocument/2006/docPropsVTypes">
  <Company>Prevenova GmbH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Bestellformular</dc:title>
  <dc:creator>Prevenova GmbH</dc:creator>
  <cp:lastModifiedBy>Prevenova GmbH</cp:lastModifiedBy>
  <dc:language>de-DE</dc:language>
</cp:coreProperties>
</file>